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E0" w:rsidRDefault="00E07335" w:rsidP="00E073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7335">
        <w:rPr>
          <w:rFonts w:ascii="Times New Roman" w:hAnsi="Times New Roman" w:cs="Times New Roman"/>
          <w:b/>
          <w:sz w:val="48"/>
          <w:szCs w:val="48"/>
        </w:rPr>
        <w:t>The 20-G</w:t>
      </w:r>
      <w:r>
        <w:rPr>
          <w:rFonts w:ascii="Times New Roman" w:hAnsi="Times New Roman" w:cs="Times New Roman"/>
          <w:b/>
          <w:sz w:val="48"/>
          <w:szCs w:val="48"/>
        </w:rPr>
        <w:t>h</w:t>
      </w:r>
      <w:r w:rsidRPr="00E07335">
        <w:rPr>
          <w:rFonts w:ascii="Times New Roman" w:hAnsi="Times New Roman" w:cs="Times New Roman"/>
          <w:b/>
          <w:sz w:val="48"/>
          <w:szCs w:val="48"/>
        </w:rPr>
        <w:t>ost Club</w:t>
      </w:r>
      <w:r w:rsidR="00D96C5F">
        <w:rPr>
          <w:rFonts w:ascii="Times New Roman" w:hAnsi="Times New Roman" w:cs="Times New Roman"/>
          <w:b/>
          <w:sz w:val="48"/>
          <w:szCs w:val="48"/>
        </w:rPr>
        <w:t xml:space="preserve"> Limited</w:t>
      </w:r>
    </w:p>
    <w:p w:rsidR="00E07335" w:rsidRDefault="00D96C5F" w:rsidP="00E073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C5F">
        <w:rPr>
          <w:rFonts w:ascii="Times New Roman" w:hAnsi="Times New Roman" w:cs="Times New Roman"/>
          <w:b/>
          <w:sz w:val="36"/>
          <w:szCs w:val="36"/>
        </w:rPr>
        <w:t>Financial Strategy</w:t>
      </w:r>
    </w:p>
    <w:p w:rsidR="00D96C5F" w:rsidRDefault="00D96C5F" w:rsidP="00E07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C8B" w:rsidRPr="00CC1294" w:rsidRDefault="00D96C5F" w:rsidP="00D96C5F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At its January meeting the Committee approved a Budget for 2018 (attached</w:t>
      </w:r>
      <w:r w:rsidR="00D46032" w:rsidRPr="00CC1294">
        <w:rPr>
          <w:rFonts w:ascii="Times New Roman" w:hAnsi="Times New Roman" w:cs="Times New Roman"/>
          <w:sz w:val="24"/>
          <w:szCs w:val="24"/>
        </w:rPr>
        <w:t xml:space="preserve"> at Appendix A</w:t>
      </w:r>
      <w:r w:rsidRPr="00CC1294">
        <w:rPr>
          <w:rFonts w:ascii="Times New Roman" w:hAnsi="Times New Roman" w:cs="Times New Roman"/>
          <w:sz w:val="24"/>
          <w:szCs w:val="24"/>
        </w:rPr>
        <w:t xml:space="preserve">) showing a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budgeted </w:t>
      </w:r>
      <w:r w:rsidRPr="00CC1294">
        <w:rPr>
          <w:rFonts w:ascii="Times New Roman" w:hAnsi="Times New Roman" w:cs="Times New Roman"/>
          <w:sz w:val="24"/>
          <w:szCs w:val="24"/>
        </w:rPr>
        <w:t>surplus for the year of £10,300.</w:t>
      </w:r>
      <w:r w:rsidR="00343C8B" w:rsidRPr="00CC1294">
        <w:rPr>
          <w:rFonts w:ascii="Times New Roman" w:hAnsi="Times New Roman" w:cs="Times New Roman"/>
          <w:sz w:val="24"/>
          <w:szCs w:val="24"/>
        </w:rPr>
        <w:t xml:space="preserve"> </w:t>
      </w:r>
      <w:r w:rsidRPr="00CC1294">
        <w:rPr>
          <w:rFonts w:ascii="Times New Roman" w:hAnsi="Times New Roman" w:cs="Times New Roman"/>
          <w:sz w:val="24"/>
          <w:szCs w:val="24"/>
        </w:rPr>
        <w:t xml:space="preserve">The Club is in good financial health, with Reserves budgeted to increase to £68,645 by 31 October 2018. </w:t>
      </w:r>
    </w:p>
    <w:p w:rsidR="00343C8B" w:rsidRPr="00CC1294" w:rsidRDefault="00343C8B" w:rsidP="00D96C5F">
      <w:pPr>
        <w:rPr>
          <w:rFonts w:ascii="Times New Roman" w:hAnsi="Times New Roman" w:cs="Times New Roman"/>
          <w:sz w:val="24"/>
          <w:szCs w:val="24"/>
        </w:rPr>
      </w:pPr>
    </w:p>
    <w:p w:rsidR="00343C8B" w:rsidRPr="00CC1294" w:rsidRDefault="00D96C5F" w:rsidP="00D96C5F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Since the January meeting, discussions have taken place as to the desirability or </w:t>
      </w:r>
      <w:r w:rsidR="00D46032" w:rsidRPr="00CC1294">
        <w:rPr>
          <w:rFonts w:ascii="Times New Roman" w:hAnsi="Times New Roman" w:cs="Times New Roman"/>
          <w:sz w:val="24"/>
          <w:szCs w:val="24"/>
        </w:rPr>
        <w:t xml:space="preserve">the </w:t>
      </w:r>
      <w:r w:rsidRPr="00CC1294">
        <w:rPr>
          <w:rFonts w:ascii="Times New Roman" w:hAnsi="Times New Roman" w:cs="Times New Roman"/>
          <w:sz w:val="24"/>
          <w:szCs w:val="24"/>
        </w:rPr>
        <w:t xml:space="preserve">need for the Club to make a 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large </w:t>
      </w:r>
      <w:r w:rsidRPr="00CC1294">
        <w:rPr>
          <w:rFonts w:ascii="Times New Roman" w:hAnsi="Times New Roman" w:cs="Times New Roman"/>
          <w:sz w:val="24"/>
          <w:szCs w:val="24"/>
        </w:rPr>
        <w:t xml:space="preserve">financial surplus each year and to continue to build up Reserves. </w:t>
      </w:r>
    </w:p>
    <w:p w:rsidR="00343C8B" w:rsidRPr="00CC1294" w:rsidRDefault="00343C8B" w:rsidP="00D96C5F">
      <w:pPr>
        <w:rPr>
          <w:rFonts w:ascii="Times New Roman" w:hAnsi="Times New Roman" w:cs="Times New Roman"/>
          <w:sz w:val="24"/>
          <w:szCs w:val="24"/>
        </w:rPr>
      </w:pPr>
    </w:p>
    <w:p w:rsidR="00D96C5F" w:rsidRPr="00CC1294" w:rsidRDefault="00D96C5F" w:rsidP="00D96C5F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In </w:t>
      </w:r>
      <w:r w:rsidR="00343C8B" w:rsidRPr="00CC1294">
        <w:rPr>
          <w:rFonts w:ascii="Times New Roman" w:hAnsi="Times New Roman" w:cs="Times New Roman"/>
          <w:sz w:val="24"/>
          <w:szCs w:val="24"/>
        </w:rPr>
        <w:t>2016</w:t>
      </w:r>
      <w:r w:rsidRPr="00CC1294">
        <w:rPr>
          <w:rFonts w:ascii="Times New Roman" w:hAnsi="Times New Roman" w:cs="Times New Roman"/>
          <w:sz w:val="24"/>
          <w:szCs w:val="24"/>
        </w:rPr>
        <w:t xml:space="preserve"> a donation of £10,000 </w:t>
      </w:r>
      <w:r w:rsidR="00343C8B" w:rsidRPr="00CC1294">
        <w:rPr>
          <w:rFonts w:ascii="Times New Roman" w:hAnsi="Times New Roman" w:cs="Times New Roman"/>
          <w:sz w:val="24"/>
          <w:szCs w:val="24"/>
        </w:rPr>
        <w:t xml:space="preserve">was made </w:t>
      </w:r>
      <w:r w:rsidRPr="00CC1294">
        <w:rPr>
          <w:rFonts w:ascii="Times New Roman" w:hAnsi="Times New Roman" w:cs="Times New Roman"/>
          <w:sz w:val="24"/>
          <w:szCs w:val="24"/>
        </w:rPr>
        <w:t>to the Sir Henry Royce Memorial Foundation</w:t>
      </w:r>
      <w:r w:rsidR="00343C8B" w:rsidRPr="00CC1294">
        <w:rPr>
          <w:rFonts w:ascii="Times New Roman" w:hAnsi="Times New Roman" w:cs="Times New Roman"/>
          <w:sz w:val="24"/>
          <w:szCs w:val="24"/>
        </w:rPr>
        <w:t xml:space="preserve"> for storing the Club’s archives and books over the last decade. In 2017 a further amount of £8,000 was provided in the accounts for completing the renovation of the Club’s room at the Hunt House, which matter is the subject of a separate paper by Ken Forbes.</w:t>
      </w:r>
    </w:p>
    <w:p w:rsidR="00343C8B" w:rsidRPr="00CC1294" w:rsidRDefault="00343C8B" w:rsidP="00D96C5F">
      <w:pPr>
        <w:rPr>
          <w:rFonts w:ascii="Times New Roman" w:hAnsi="Times New Roman" w:cs="Times New Roman"/>
          <w:sz w:val="24"/>
          <w:szCs w:val="24"/>
        </w:rPr>
      </w:pPr>
    </w:p>
    <w:p w:rsidR="00343C8B" w:rsidRPr="00CC1294" w:rsidRDefault="00343C8B" w:rsidP="00343C8B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Over the last eight years, the Club has improved its financial position as a result of the following:</w:t>
      </w:r>
    </w:p>
    <w:p w:rsidR="00343C8B" w:rsidRPr="00CC1294" w:rsidRDefault="00343C8B" w:rsidP="00343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The former Treasurer, Brian Fidler, managed to recover £43,391 </w:t>
      </w:r>
      <w:r w:rsidR="00D2228B" w:rsidRPr="00CC1294">
        <w:rPr>
          <w:rFonts w:ascii="Times New Roman" w:hAnsi="Times New Roman" w:cs="Times New Roman"/>
          <w:sz w:val="24"/>
          <w:szCs w:val="24"/>
        </w:rPr>
        <w:t>which was on deposit with t</w:t>
      </w:r>
      <w:r w:rsidRPr="00CC1294">
        <w:rPr>
          <w:rFonts w:ascii="Times New Roman" w:hAnsi="Times New Roman" w:cs="Times New Roman"/>
          <w:sz w:val="24"/>
          <w:szCs w:val="24"/>
        </w:rPr>
        <w:t xml:space="preserve">he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failed </w:t>
      </w:r>
      <w:r w:rsidRPr="00CC1294">
        <w:rPr>
          <w:rFonts w:ascii="Times New Roman" w:hAnsi="Times New Roman" w:cs="Times New Roman"/>
          <w:sz w:val="24"/>
          <w:szCs w:val="24"/>
        </w:rPr>
        <w:t>Bank of the Isle of Man (Kaupthing Singer &amp; Friedlander)</w:t>
      </w:r>
      <w:r w:rsidR="00D46032" w:rsidRPr="00CC1294">
        <w:rPr>
          <w:rFonts w:ascii="Times New Roman" w:hAnsi="Times New Roman" w:cs="Times New Roman"/>
          <w:sz w:val="24"/>
          <w:szCs w:val="24"/>
        </w:rPr>
        <w:t>.</w:t>
      </w:r>
    </w:p>
    <w:p w:rsidR="00343C8B" w:rsidRPr="00CC1294" w:rsidRDefault="00343C8B" w:rsidP="00343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Membership has increased from 271 to 372, as a result of which subscription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 revenue </w:t>
      </w:r>
      <w:r w:rsidR="0013618E" w:rsidRPr="00CC1294">
        <w:rPr>
          <w:rFonts w:ascii="Times New Roman" w:hAnsi="Times New Roman" w:cs="Times New Roman"/>
          <w:sz w:val="24"/>
          <w:szCs w:val="24"/>
        </w:rPr>
        <w:t>(including the new joining fee of £100)</w:t>
      </w:r>
      <w:r w:rsidRPr="00CC1294">
        <w:rPr>
          <w:rFonts w:ascii="Times New Roman" w:hAnsi="Times New Roman" w:cs="Times New Roman"/>
          <w:sz w:val="24"/>
          <w:szCs w:val="24"/>
        </w:rPr>
        <w:t xml:space="preserve">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has increased </w:t>
      </w:r>
      <w:r w:rsidRPr="00CC1294">
        <w:rPr>
          <w:rFonts w:ascii="Times New Roman" w:hAnsi="Times New Roman" w:cs="Times New Roman"/>
          <w:sz w:val="24"/>
          <w:szCs w:val="24"/>
        </w:rPr>
        <w:t>from £10,500 to £17,500 per year</w:t>
      </w:r>
      <w:r w:rsidR="00D46032" w:rsidRPr="00CC1294">
        <w:rPr>
          <w:rFonts w:ascii="Times New Roman" w:hAnsi="Times New Roman" w:cs="Times New Roman"/>
          <w:sz w:val="24"/>
          <w:szCs w:val="24"/>
        </w:rPr>
        <w:t>.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C8B" w:rsidRPr="00CC1294" w:rsidRDefault="00343C8B" w:rsidP="00343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More members are participating on Club tours, some of which are 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more </w:t>
      </w:r>
      <w:r w:rsidRPr="00CC1294">
        <w:rPr>
          <w:rFonts w:ascii="Times New Roman" w:hAnsi="Times New Roman" w:cs="Times New Roman"/>
          <w:sz w:val="24"/>
          <w:szCs w:val="24"/>
        </w:rPr>
        <w:t>high</w:t>
      </w:r>
      <w:r w:rsidR="00830B3B" w:rsidRPr="00CC1294">
        <w:rPr>
          <w:rFonts w:ascii="Times New Roman" w:hAnsi="Times New Roman" w:cs="Times New Roman"/>
          <w:sz w:val="24"/>
          <w:szCs w:val="24"/>
        </w:rPr>
        <w:t>ly</w:t>
      </w:r>
      <w:r w:rsidRPr="00CC1294">
        <w:rPr>
          <w:rFonts w:ascii="Times New Roman" w:hAnsi="Times New Roman" w:cs="Times New Roman"/>
          <w:sz w:val="24"/>
          <w:szCs w:val="24"/>
        </w:rPr>
        <w:t xml:space="preserve"> priced</w:t>
      </w:r>
      <w:r w:rsidR="0013618E" w:rsidRPr="00CC1294">
        <w:rPr>
          <w:rFonts w:ascii="Times New Roman" w:hAnsi="Times New Roman" w:cs="Times New Roman"/>
          <w:sz w:val="24"/>
          <w:szCs w:val="24"/>
        </w:rPr>
        <w:t xml:space="preserve"> than previously</w:t>
      </w:r>
      <w:r w:rsidRPr="00CC1294">
        <w:rPr>
          <w:rFonts w:ascii="Times New Roman" w:hAnsi="Times New Roman" w:cs="Times New Roman"/>
          <w:sz w:val="24"/>
          <w:szCs w:val="24"/>
        </w:rPr>
        <w:t>, and the Club is running more tours</w:t>
      </w:r>
      <w:r w:rsidR="0013618E" w:rsidRPr="00CC1294">
        <w:rPr>
          <w:rFonts w:ascii="Times New Roman" w:hAnsi="Times New Roman" w:cs="Times New Roman"/>
          <w:sz w:val="24"/>
          <w:szCs w:val="24"/>
        </w:rPr>
        <w:t xml:space="preserve"> and events</w:t>
      </w:r>
      <w:r w:rsidRPr="00CC1294">
        <w:rPr>
          <w:rFonts w:ascii="Times New Roman" w:hAnsi="Times New Roman" w:cs="Times New Roman"/>
          <w:sz w:val="24"/>
          <w:szCs w:val="24"/>
        </w:rPr>
        <w:t xml:space="preserve">. As a result of applying the 5% mark-up </w:t>
      </w:r>
      <w:r w:rsidR="0013618E" w:rsidRPr="00CC1294">
        <w:rPr>
          <w:rFonts w:ascii="Times New Roman" w:hAnsi="Times New Roman" w:cs="Times New Roman"/>
          <w:sz w:val="24"/>
          <w:szCs w:val="24"/>
        </w:rPr>
        <w:t xml:space="preserve">to </w:t>
      </w:r>
      <w:r w:rsidRPr="00CC1294">
        <w:rPr>
          <w:rFonts w:ascii="Times New Roman" w:hAnsi="Times New Roman" w:cs="Times New Roman"/>
          <w:sz w:val="24"/>
          <w:szCs w:val="24"/>
        </w:rPr>
        <w:t>the total cost of each tour/event and a result of including in each tour a contribution to insurance, the surplus on tours has grown and is now budgeted to be £17,000 in 2018</w:t>
      </w:r>
      <w:r w:rsidR="00D46032" w:rsidRPr="00CC1294">
        <w:rPr>
          <w:rFonts w:ascii="Times New Roman" w:hAnsi="Times New Roman" w:cs="Times New Roman"/>
          <w:sz w:val="24"/>
          <w:szCs w:val="24"/>
        </w:rPr>
        <w:t>, compared to £3,000 in 2010.</w:t>
      </w:r>
      <w:r w:rsidR="00CC1294" w:rsidRPr="00CC1294">
        <w:rPr>
          <w:rFonts w:ascii="Times New Roman" w:hAnsi="Times New Roman" w:cs="Times New Roman"/>
          <w:sz w:val="24"/>
          <w:szCs w:val="24"/>
        </w:rPr>
        <w:t xml:space="preserve"> Note</w:t>
      </w:r>
      <w:proofErr w:type="gramStart"/>
      <w:r w:rsidR="00CC1294" w:rsidRPr="00CC12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1294" w:rsidRPr="00CC1294">
        <w:rPr>
          <w:rFonts w:ascii="Times New Roman" w:hAnsi="Times New Roman" w:cs="Times New Roman"/>
          <w:sz w:val="24"/>
          <w:szCs w:val="24"/>
        </w:rPr>
        <w:t xml:space="preserve"> the surplus may decrease to £10,000 in 2019, as the Swiss tour is limited to 22 couples, unless there is a large turnout for the 2019 70</w:t>
      </w:r>
      <w:r w:rsidR="00CC1294" w:rsidRPr="00CC12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C1294" w:rsidRPr="00CC1294">
        <w:rPr>
          <w:rFonts w:ascii="Times New Roman" w:hAnsi="Times New Roman" w:cs="Times New Roman"/>
          <w:sz w:val="24"/>
          <w:szCs w:val="24"/>
        </w:rPr>
        <w:t xml:space="preserve"> anniversary </w:t>
      </w:r>
      <w:r w:rsidR="00CC1294">
        <w:rPr>
          <w:rFonts w:ascii="Times New Roman" w:hAnsi="Times New Roman" w:cs="Times New Roman"/>
          <w:sz w:val="24"/>
          <w:szCs w:val="24"/>
        </w:rPr>
        <w:t xml:space="preserve">short </w:t>
      </w:r>
      <w:r w:rsidR="00CC1294" w:rsidRPr="00CC1294">
        <w:rPr>
          <w:rFonts w:ascii="Times New Roman" w:hAnsi="Times New Roman" w:cs="Times New Roman"/>
          <w:sz w:val="24"/>
          <w:szCs w:val="24"/>
        </w:rPr>
        <w:t>tour.</w:t>
      </w:r>
    </w:p>
    <w:p w:rsidR="00343C8B" w:rsidRPr="00CC1294" w:rsidRDefault="00343C8B" w:rsidP="00D460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While costs have been incurred to improve the website and the Club’s database, these costs have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been </w:t>
      </w:r>
      <w:r w:rsidRPr="00CC1294">
        <w:rPr>
          <w:rFonts w:ascii="Times New Roman" w:hAnsi="Times New Roman" w:cs="Times New Roman"/>
          <w:sz w:val="24"/>
          <w:szCs w:val="24"/>
        </w:rPr>
        <w:t xml:space="preserve">easily met through the increased income, as noted above. In addition, in the last two years, the Club has not incurred expenditure </w:t>
      </w:r>
      <w:r w:rsidR="009B72D9" w:rsidRPr="00CC1294">
        <w:rPr>
          <w:rFonts w:ascii="Times New Roman" w:hAnsi="Times New Roman" w:cs="Times New Roman"/>
          <w:sz w:val="24"/>
          <w:szCs w:val="24"/>
        </w:rPr>
        <w:t>(of £2,200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 each issue</w:t>
      </w:r>
      <w:r w:rsidR="009B72D9" w:rsidRPr="00CC1294">
        <w:rPr>
          <w:rFonts w:ascii="Times New Roman" w:hAnsi="Times New Roman" w:cs="Times New Roman"/>
          <w:sz w:val="24"/>
          <w:szCs w:val="24"/>
        </w:rPr>
        <w:t xml:space="preserve">) </w:t>
      </w:r>
      <w:r w:rsidRPr="00CC1294">
        <w:rPr>
          <w:rFonts w:ascii="Times New Roman" w:hAnsi="Times New Roman" w:cs="Times New Roman"/>
          <w:sz w:val="24"/>
          <w:szCs w:val="24"/>
        </w:rPr>
        <w:t xml:space="preserve">on </w:t>
      </w:r>
      <w:r w:rsidRPr="00CC1294">
        <w:rPr>
          <w:rFonts w:ascii="Times New Roman" w:hAnsi="Times New Roman" w:cs="Times New Roman"/>
          <w:i/>
          <w:sz w:val="24"/>
          <w:szCs w:val="24"/>
        </w:rPr>
        <w:t>The Roycean</w:t>
      </w:r>
      <w:r w:rsidR="0013618E" w:rsidRPr="00CC1294">
        <w:rPr>
          <w:rFonts w:ascii="Times New Roman" w:hAnsi="Times New Roman" w:cs="Times New Roman"/>
          <w:sz w:val="24"/>
          <w:szCs w:val="24"/>
        </w:rPr>
        <w:t xml:space="preserve">, as this </w:t>
      </w:r>
      <w:r w:rsidRPr="00CC1294">
        <w:rPr>
          <w:rFonts w:ascii="Times New Roman" w:hAnsi="Times New Roman" w:cs="Times New Roman"/>
          <w:sz w:val="24"/>
          <w:szCs w:val="24"/>
        </w:rPr>
        <w:t>ceased to be produced</w:t>
      </w:r>
      <w:r w:rsidR="009B72D9" w:rsidRPr="00CC1294">
        <w:rPr>
          <w:rFonts w:ascii="Times New Roman" w:hAnsi="Times New Roman" w:cs="Times New Roman"/>
          <w:sz w:val="24"/>
          <w:szCs w:val="24"/>
        </w:rPr>
        <w:t xml:space="preserve"> after 2015</w:t>
      </w:r>
      <w:r w:rsidR="00844C7B" w:rsidRPr="00CC1294">
        <w:rPr>
          <w:rFonts w:ascii="Times New Roman" w:hAnsi="Times New Roman" w:cs="Times New Roman"/>
          <w:sz w:val="24"/>
          <w:szCs w:val="24"/>
        </w:rPr>
        <w:t>, although there are rumours that it might reappear in 2019</w:t>
      </w:r>
      <w:r w:rsidRPr="00CC1294">
        <w:rPr>
          <w:rFonts w:ascii="Times New Roman" w:hAnsi="Times New Roman" w:cs="Times New Roman"/>
          <w:sz w:val="24"/>
          <w:szCs w:val="24"/>
        </w:rPr>
        <w:t>.</w:t>
      </w:r>
      <w:r w:rsidR="00160D48" w:rsidRPr="00CC1294">
        <w:rPr>
          <w:rFonts w:ascii="Times New Roman" w:hAnsi="Times New Roman" w:cs="Times New Roman"/>
          <w:sz w:val="24"/>
          <w:szCs w:val="24"/>
        </w:rPr>
        <w:t xml:space="preserve"> Also, recce costs amounting to £6,800 have been written off in the 2017 accounts, thus providing a contingency for future tours.</w:t>
      </w:r>
    </w:p>
    <w:p w:rsidR="00CC1294" w:rsidRDefault="00CC1294">
      <w:pPr>
        <w:rPr>
          <w:rFonts w:ascii="Times New Roman" w:hAnsi="Times New Roman" w:cs="Times New Roman"/>
          <w:sz w:val="24"/>
          <w:szCs w:val="24"/>
        </w:rPr>
      </w:pPr>
    </w:p>
    <w:p w:rsidR="00D46032" w:rsidRPr="00CC1294" w:rsidRDefault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The impact of the above can be seen in Appendix B.</w:t>
      </w:r>
      <w:r w:rsidRPr="00CC1294">
        <w:rPr>
          <w:rFonts w:ascii="Times New Roman" w:hAnsi="Times New Roman" w:cs="Times New Roman"/>
          <w:sz w:val="24"/>
          <w:szCs w:val="24"/>
        </w:rPr>
        <w:br w:type="page"/>
      </w:r>
    </w:p>
    <w:p w:rsidR="00D46032" w:rsidRPr="00CC1294" w:rsidRDefault="00160D48" w:rsidP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lastRenderedPageBreak/>
        <w:t>From time to time, there will be one-off, exceptional costs, for example:</w:t>
      </w:r>
    </w:p>
    <w:p w:rsidR="00160D48" w:rsidRPr="00CC1294" w:rsidRDefault="00160D48" w:rsidP="00160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Replacement of the Club’s database system and other major enhancements to the website</w:t>
      </w:r>
    </w:p>
    <w:p w:rsidR="00160D48" w:rsidRPr="00CC1294" w:rsidRDefault="00160D48" w:rsidP="00160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Refurbishment of the Club’s Room at the Hunt House</w:t>
      </w:r>
    </w:p>
    <w:p w:rsidR="00160D48" w:rsidRPr="00CC1294" w:rsidRDefault="00160D48" w:rsidP="00160D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A publication/book to commemorate the Club’s 70</w:t>
      </w:r>
      <w:r w:rsidRPr="00CC12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1294">
        <w:rPr>
          <w:rFonts w:ascii="Times New Roman" w:hAnsi="Times New Roman" w:cs="Times New Roman"/>
          <w:sz w:val="24"/>
          <w:szCs w:val="24"/>
        </w:rPr>
        <w:t xml:space="preserve"> anniversary</w:t>
      </w:r>
    </w:p>
    <w:p w:rsidR="00D46032" w:rsidRPr="00CC1294" w:rsidRDefault="00D46032" w:rsidP="00D46032">
      <w:pPr>
        <w:rPr>
          <w:rFonts w:ascii="Times New Roman" w:hAnsi="Times New Roman" w:cs="Times New Roman"/>
          <w:sz w:val="24"/>
          <w:szCs w:val="24"/>
        </w:rPr>
      </w:pPr>
    </w:p>
    <w:p w:rsidR="00160D48" w:rsidRPr="00CC1294" w:rsidRDefault="00160D48" w:rsidP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If needed, these </w:t>
      </w:r>
      <w:r w:rsidR="001C4D40" w:rsidRPr="00CC1294">
        <w:rPr>
          <w:rFonts w:ascii="Times New Roman" w:hAnsi="Times New Roman" w:cs="Times New Roman"/>
          <w:sz w:val="24"/>
          <w:szCs w:val="24"/>
        </w:rPr>
        <w:t xml:space="preserve">exceptional costs </w:t>
      </w:r>
      <w:r w:rsidRPr="00CC1294">
        <w:rPr>
          <w:rFonts w:ascii="Times New Roman" w:hAnsi="Times New Roman" w:cs="Times New Roman"/>
          <w:sz w:val="24"/>
          <w:szCs w:val="24"/>
        </w:rPr>
        <w:t xml:space="preserve">can be funded by ensuring a surplus on tours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in a particular year </w:t>
      </w:r>
      <w:r w:rsidRPr="00CC1294">
        <w:rPr>
          <w:rFonts w:ascii="Times New Roman" w:hAnsi="Times New Roman" w:cs="Times New Roman"/>
          <w:sz w:val="24"/>
          <w:szCs w:val="24"/>
        </w:rPr>
        <w:t>or by utilising some of the Club’s large reserves.</w:t>
      </w:r>
    </w:p>
    <w:p w:rsidR="00160D48" w:rsidRPr="00CC1294" w:rsidRDefault="00160D48" w:rsidP="00D46032">
      <w:pPr>
        <w:rPr>
          <w:rFonts w:ascii="Times New Roman" w:hAnsi="Times New Roman" w:cs="Times New Roman"/>
          <w:sz w:val="24"/>
          <w:szCs w:val="24"/>
        </w:rPr>
      </w:pPr>
    </w:p>
    <w:p w:rsidR="00160D48" w:rsidRDefault="00160D48" w:rsidP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However, there is little logic in pricing tours to make a</w:t>
      </w:r>
      <w:r w:rsidR="00CC1294">
        <w:rPr>
          <w:rFonts w:ascii="Times New Roman" w:hAnsi="Times New Roman" w:cs="Times New Roman"/>
          <w:sz w:val="24"/>
          <w:szCs w:val="24"/>
        </w:rPr>
        <w:t xml:space="preserve">n overall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Club </w:t>
      </w:r>
      <w:r w:rsidR="00CC1294">
        <w:rPr>
          <w:rFonts w:ascii="Times New Roman" w:hAnsi="Times New Roman" w:cs="Times New Roman"/>
          <w:sz w:val="24"/>
          <w:szCs w:val="24"/>
        </w:rPr>
        <w:t xml:space="preserve">net </w:t>
      </w:r>
      <w:r w:rsidRPr="00CC1294">
        <w:rPr>
          <w:rFonts w:ascii="Times New Roman" w:hAnsi="Times New Roman" w:cs="Times New Roman"/>
          <w:sz w:val="24"/>
          <w:szCs w:val="24"/>
        </w:rPr>
        <w:t xml:space="preserve">surplus each year of in excess of £10,000. Members join the Club to enjoy using their cars on tours and events, and to enjoy each other’s company. </w:t>
      </w:r>
      <w:r w:rsidR="0013618E" w:rsidRPr="00CC1294">
        <w:rPr>
          <w:rFonts w:ascii="Times New Roman" w:hAnsi="Times New Roman" w:cs="Times New Roman"/>
          <w:sz w:val="24"/>
          <w:szCs w:val="24"/>
        </w:rPr>
        <w:t>It is recommended that the Club should aim to make a</w:t>
      </w:r>
      <w:r w:rsidR="00CC1294">
        <w:rPr>
          <w:rFonts w:ascii="Times New Roman" w:hAnsi="Times New Roman" w:cs="Times New Roman"/>
          <w:sz w:val="24"/>
          <w:szCs w:val="24"/>
        </w:rPr>
        <w:t>n overall net</w:t>
      </w:r>
      <w:r w:rsidR="0013618E" w:rsidRPr="00CC1294">
        <w:rPr>
          <w:rFonts w:ascii="Times New Roman" w:hAnsi="Times New Roman" w:cs="Times New Roman"/>
          <w:sz w:val="24"/>
          <w:szCs w:val="24"/>
        </w:rPr>
        <w:t xml:space="preserve"> surplus each year of not more than £3,000 on average.</w:t>
      </w:r>
    </w:p>
    <w:p w:rsidR="0035320D" w:rsidRDefault="0035320D" w:rsidP="00D46032">
      <w:pPr>
        <w:rPr>
          <w:rFonts w:ascii="Times New Roman" w:hAnsi="Times New Roman" w:cs="Times New Roman"/>
          <w:sz w:val="24"/>
          <w:szCs w:val="24"/>
        </w:rPr>
      </w:pPr>
    </w:p>
    <w:p w:rsidR="0035320D" w:rsidRPr="00CC1294" w:rsidRDefault="0035320D" w:rsidP="00D4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further issue is that, at present, the budgeted cost of tours and other touring events includes an “internal charge” of £4 per car per day which charge is intended to equate to the cost of the Club’s travel insurance policy. </w:t>
      </w:r>
      <w:r w:rsidR="003A1344">
        <w:rPr>
          <w:rFonts w:ascii="Times New Roman" w:hAnsi="Times New Roman" w:cs="Times New Roman"/>
          <w:sz w:val="24"/>
          <w:szCs w:val="24"/>
        </w:rPr>
        <w:t xml:space="preserve">With more touring days, it is clear that this charge is now too high. </w:t>
      </w:r>
      <w:r>
        <w:rPr>
          <w:rFonts w:ascii="Times New Roman" w:hAnsi="Times New Roman" w:cs="Times New Roman"/>
          <w:sz w:val="24"/>
          <w:szCs w:val="24"/>
        </w:rPr>
        <w:t xml:space="preserve">For the Prussian tour alone this </w:t>
      </w:r>
      <w:proofErr w:type="gramStart"/>
      <w:r w:rsidR="003A1344">
        <w:rPr>
          <w:rFonts w:ascii="Times New Roman" w:hAnsi="Times New Roman" w:cs="Times New Roman"/>
          <w:sz w:val="24"/>
          <w:szCs w:val="24"/>
        </w:rPr>
        <w:t>budgeted</w:t>
      </w:r>
      <w:proofErr w:type="gramEnd"/>
      <w:r w:rsidR="003A1344">
        <w:rPr>
          <w:rFonts w:ascii="Times New Roman" w:hAnsi="Times New Roman" w:cs="Times New Roman"/>
          <w:sz w:val="24"/>
          <w:szCs w:val="24"/>
        </w:rPr>
        <w:t xml:space="preserve"> cost </w:t>
      </w:r>
      <w:r>
        <w:rPr>
          <w:rFonts w:ascii="Times New Roman" w:hAnsi="Times New Roman" w:cs="Times New Roman"/>
          <w:sz w:val="24"/>
          <w:szCs w:val="24"/>
        </w:rPr>
        <w:t>amounts to £2,840 yet the annual cost of the Club’s travel policy amounts to only £1,600. There is little logic in asking participants on tours to contribute any more than the cost of their travel insurance.</w:t>
      </w:r>
    </w:p>
    <w:p w:rsidR="0087123A" w:rsidRPr="00CC1294" w:rsidRDefault="0087123A" w:rsidP="00D46032">
      <w:pPr>
        <w:rPr>
          <w:rFonts w:ascii="Times New Roman" w:hAnsi="Times New Roman" w:cs="Times New Roman"/>
          <w:sz w:val="24"/>
          <w:szCs w:val="24"/>
        </w:rPr>
      </w:pPr>
    </w:p>
    <w:p w:rsidR="0087123A" w:rsidRDefault="0087123A" w:rsidP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There is n</w:t>
      </w:r>
      <w:r w:rsidR="00D2228B" w:rsidRPr="00CC1294">
        <w:rPr>
          <w:rFonts w:ascii="Times New Roman" w:hAnsi="Times New Roman" w:cs="Times New Roman"/>
          <w:sz w:val="24"/>
          <w:szCs w:val="24"/>
        </w:rPr>
        <w:t>o desire to change subscription</w:t>
      </w:r>
      <w:r w:rsidRPr="00CC1294">
        <w:rPr>
          <w:rFonts w:ascii="Times New Roman" w:hAnsi="Times New Roman" w:cs="Times New Roman"/>
          <w:sz w:val="24"/>
          <w:szCs w:val="24"/>
        </w:rPr>
        <w:t xml:space="preserve"> rates from the present (basic) rate of £50 per year by standing order as to do so is (a) unnecessary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; </w:t>
      </w:r>
      <w:r w:rsidRPr="00CC1294">
        <w:rPr>
          <w:rFonts w:ascii="Times New Roman" w:hAnsi="Times New Roman" w:cs="Times New Roman"/>
          <w:sz w:val="24"/>
          <w:szCs w:val="24"/>
        </w:rPr>
        <w:t xml:space="preserve">(b) would result in significant administration for the Treasurer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and (c) may result in the </w:t>
      </w:r>
      <w:r w:rsidRPr="00CC1294">
        <w:rPr>
          <w:rFonts w:ascii="Times New Roman" w:hAnsi="Times New Roman" w:cs="Times New Roman"/>
          <w:sz w:val="24"/>
          <w:szCs w:val="24"/>
        </w:rPr>
        <w:t>potential non-renewal of membership by less active members.</w:t>
      </w:r>
      <w:r w:rsidR="00534FBE" w:rsidRPr="00CC1294">
        <w:rPr>
          <w:rFonts w:ascii="Times New Roman" w:hAnsi="Times New Roman" w:cs="Times New Roman"/>
          <w:sz w:val="24"/>
          <w:szCs w:val="24"/>
        </w:rPr>
        <w:t xml:space="preserve"> Thus, the present policy of maintaining the basic membership rate of £50 pa should continue.</w:t>
      </w:r>
    </w:p>
    <w:p w:rsidR="0035320D" w:rsidRDefault="0035320D" w:rsidP="00D46032">
      <w:pPr>
        <w:rPr>
          <w:rFonts w:ascii="Times New Roman" w:hAnsi="Times New Roman" w:cs="Times New Roman"/>
          <w:sz w:val="24"/>
          <w:szCs w:val="24"/>
        </w:rPr>
      </w:pPr>
    </w:p>
    <w:p w:rsidR="00830B3B" w:rsidRPr="00CC1294" w:rsidRDefault="00543E97" w:rsidP="00D46032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Various suggestions have been made to change the fi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nancial strategy for the future. It is now </w:t>
      </w:r>
      <w:r w:rsidR="0035320D">
        <w:rPr>
          <w:rFonts w:ascii="Times New Roman" w:hAnsi="Times New Roman" w:cs="Times New Roman"/>
          <w:sz w:val="24"/>
          <w:szCs w:val="24"/>
        </w:rPr>
        <w:t>recommended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 that:</w:t>
      </w:r>
    </w:p>
    <w:p w:rsidR="0035320D" w:rsidRDefault="00830B3B" w:rsidP="00830B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The </w:t>
      </w:r>
      <w:r w:rsidR="0035320D">
        <w:rPr>
          <w:rFonts w:ascii="Times New Roman" w:hAnsi="Times New Roman" w:cs="Times New Roman"/>
          <w:sz w:val="24"/>
          <w:szCs w:val="24"/>
        </w:rPr>
        <w:t xml:space="preserve">“internal charge” for travel insurance should equate to the cost of providing this insurance. This means reducing the per diem “internal charge” from £4 per car per day to </w:t>
      </w:r>
      <w:r w:rsidR="003A1344">
        <w:rPr>
          <w:rFonts w:ascii="Times New Roman" w:hAnsi="Times New Roman" w:cs="Times New Roman"/>
          <w:sz w:val="24"/>
          <w:szCs w:val="24"/>
        </w:rPr>
        <w:t>£2 per car per day</w:t>
      </w:r>
      <w:r w:rsidR="0035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B3B" w:rsidRPr="00CC1294" w:rsidRDefault="003A1344" w:rsidP="00830B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830B3B" w:rsidRPr="00CC1294">
        <w:rPr>
          <w:rFonts w:ascii="Times New Roman" w:hAnsi="Times New Roman" w:cs="Times New Roman"/>
          <w:sz w:val="24"/>
          <w:szCs w:val="24"/>
        </w:rPr>
        <w:t xml:space="preserve">ricing on tours should be amended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so that the Club makes, each year, a small surplus of between £2,000 and £4,000. This probably means reducing the planned margin on tours from 5% to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="00D2228B" w:rsidRPr="00CC1294">
        <w:rPr>
          <w:rFonts w:ascii="Times New Roman" w:hAnsi="Times New Roman" w:cs="Times New Roman"/>
          <w:sz w:val="24"/>
          <w:szCs w:val="24"/>
        </w:rPr>
        <w:t>2½</w:t>
      </w:r>
      <w:r>
        <w:rPr>
          <w:rFonts w:ascii="Times New Roman" w:hAnsi="Times New Roman" w:cs="Times New Roman"/>
          <w:sz w:val="24"/>
          <w:szCs w:val="24"/>
        </w:rPr>
        <w:t>%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3%</w:t>
      </w:r>
      <w:r w:rsidR="001C4D40" w:rsidRPr="00CC1294">
        <w:rPr>
          <w:rFonts w:ascii="Times New Roman" w:hAnsi="Times New Roman" w:cs="Times New Roman"/>
          <w:sz w:val="24"/>
          <w:szCs w:val="24"/>
        </w:rPr>
        <w:t xml:space="preserve">. This can be assessed each year </w:t>
      </w:r>
      <w:r>
        <w:rPr>
          <w:rFonts w:ascii="Times New Roman" w:hAnsi="Times New Roman" w:cs="Times New Roman"/>
          <w:sz w:val="24"/>
          <w:szCs w:val="24"/>
        </w:rPr>
        <w:t xml:space="preserve">by the Treasurer </w:t>
      </w:r>
      <w:r w:rsidR="001C4D40" w:rsidRPr="00CC1294">
        <w:rPr>
          <w:rFonts w:ascii="Times New Roman" w:hAnsi="Times New Roman" w:cs="Times New Roman"/>
          <w:sz w:val="24"/>
          <w:szCs w:val="24"/>
        </w:rPr>
        <w:t xml:space="preserve">depending on the </w:t>
      </w:r>
      <w:r>
        <w:rPr>
          <w:rFonts w:ascii="Times New Roman" w:hAnsi="Times New Roman" w:cs="Times New Roman"/>
          <w:sz w:val="24"/>
          <w:szCs w:val="24"/>
        </w:rPr>
        <w:t xml:space="preserve">length and number of </w:t>
      </w:r>
      <w:r w:rsidR="001C4D40" w:rsidRPr="00CC1294">
        <w:rPr>
          <w:rFonts w:ascii="Times New Roman" w:hAnsi="Times New Roman" w:cs="Times New Roman"/>
          <w:sz w:val="24"/>
          <w:szCs w:val="24"/>
        </w:rPr>
        <w:t>planned tours</w:t>
      </w:r>
      <w:r w:rsidR="0010141D">
        <w:rPr>
          <w:rFonts w:ascii="Times New Roman" w:hAnsi="Times New Roman" w:cs="Times New Roman"/>
          <w:sz w:val="24"/>
          <w:szCs w:val="24"/>
        </w:rPr>
        <w:t xml:space="preserve">, </w:t>
      </w:r>
      <w:r w:rsidR="001C4D40" w:rsidRPr="00CC1294">
        <w:rPr>
          <w:rFonts w:ascii="Times New Roman" w:hAnsi="Times New Roman" w:cs="Times New Roman"/>
          <w:sz w:val="24"/>
          <w:szCs w:val="24"/>
        </w:rPr>
        <w:t>other events</w:t>
      </w:r>
      <w:r w:rsidR="0010141D">
        <w:rPr>
          <w:rFonts w:ascii="Times New Roman" w:hAnsi="Times New Roman" w:cs="Times New Roman"/>
          <w:sz w:val="24"/>
          <w:szCs w:val="24"/>
        </w:rPr>
        <w:t xml:space="preserve"> and expenditure levels.</w:t>
      </w:r>
    </w:p>
    <w:p w:rsidR="00D2228B" w:rsidRPr="00CC1294" w:rsidRDefault="00D2228B" w:rsidP="00830B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An annual amount of perhaps </w:t>
      </w:r>
      <w:r w:rsidR="003A1344">
        <w:rPr>
          <w:rFonts w:ascii="Times New Roman" w:hAnsi="Times New Roman" w:cs="Times New Roman"/>
          <w:sz w:val="24"/>
          <w:szCs w:val="24"/>
        </w:rPr>
        <w:t xml:space="preserve">£2,000 or </w:t>
      </w:r>
      <w:r w:rsidRPr="00CC1294">
        <w:rPr>
          <w:rFonts w:ascii="Times New Roman" w:hAnsi="Times New Roman" w:cs="Times New Roman"/>
          <w:sz w:val="24"/>
          <w:szCs w:val="24"/>
        </w:rPr>
        <w:t xml:space="preserve">£3,000 </w:t>
      </w:r>
      <w:r w:rsidR="00510C26">
        <w:rPr>
          <w:rFonts w:ascii="Times New Roman" w:hAnsi="Times New Roman" w:cs="Times New Roman"/>
          <w:sz w:val="24"/>
          <w:szCs w:val="24"/>
        </w:rPr>
        <w:t>might</w:t>
      </w:r>
      <w:r w:rsidRPr="00CC1294">
        <w:rPr>
          <w:rFonts w:ascii="Times New Roman" w:hAnsi="Times New Roman" w:cs="Times New Roman"/>
          <w:sz w:val="24"/>
          <w:szCs w:val="24"/>
        </w:rPr>
        <w:t xml:space="preserve"> be given to the Sir Henry Royce Memorial Foundation for use of a room at the Hunt House to store the Club’s records, archives, trophies and paintings.</w:t>
      </w:r>
      <w:r w:rsidR="00534FBE" w:rsidRPr="00CC1294">
        <w:rPr>
          <w:rFonts w:ascii="Times New Roman" w:hAnsi="Times New Roman" w:cs="Times New Roman"/>
          <w:sz w:val="24"/>
          <w:szCs w:val="24"/>
        </w:rPr>
        <w:t xml:space="preserve"> This is the subject of a separate paper from Ken Forbes.</w:t>
      </w:r>
    </w:p>
    <w:p w:rsidR="00830B3B" w:rsidRPr="00CC1294" w:rsidRDefault="00830B3B" w:rsidP="00D46032">
      <w:pPr>
        <w:rPr>
          <w:rFonts w:ascii="Times New Roman" w:hAnsi="Times New Roman" w:cs="Times New Roman"/>
          <w:sz w:val="24"/>
          <w:szCs w:val="24"/>
        </w:rPr>
      </w:pPr>
    </w:p>
    <w:p w:rsidR="0013618E" w:rsidRDefault="0013618E" w:rsidP="00543E97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 xml:space="preserve">The Committee is requested to </w:t>
      </w:r>
      <w:r w:rsidR="00D2228B" w:rsidRPr="00CC1294">
        <w:rPr>
          <w:rFonts w:ascii="Times New Roman" w:hAnsi="Times New Roman" w:cs="Times New Roman"/>
          <w:sz w:val="24"/>
          <w:szCs w:val="24"/>
        </w:rPr>
        <w:t xml:space="preserve">approve the above at its meeting on </w:t>
      </w:r>
      <w:r w:rsidRPr="00CC1294">
        <w:rPr>
          <w:rFonts w:ascii="Times New Roman" w:hAnsi="Times New Roman" w:cs="Times New Roman"/>
          <w:sz w:val="24"/>
          <w:szCs w:val="24"/>
        </w:rPr>
        <w:t>6 May 2018.</w:t>
      </w:r>
    </w:p>
    <w:p w:rsidR="00CC1294" w:rsidRPr="00CC1294" w:rsidRDefault="00CC1294" w:rsidP="00543E97">
      <w:pPr>
        <w:rPr>
          <w:rFonts w:ascii="Times New Roman" w:hAnsi="Times New Roman" w:cs="Times New Roman"/>
          <w:sz w:val="24"/>
          <w:szCs w:val="24"/>
        </w:rPr>
      </w:pPr>
    </w:p>
    <w:p w:rsidR="00D2228B" w:rsidRPr="00CC1294" w:rsidRDefault="00D2228B" w:rsidP="00543E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294">
        <w:rPr>
          <w:rFonts w:ascii="Times New Roman" w:hAnsi="Times New Roman" w:cs="Times New Roman"/>
          <w:sz w:val="24"/>
          <w:szCs w:val="24"/>
        </w:rPr>
        <w:t>Sir John Stuttard</w:t>
      </w:r>
    </w:p>
    <w:p w:rsidR="00D2228B" w:rsidRPr="00CC1294" w:rsidRDefault="00D2228B" w:rsidP="00543E97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Ken Forbes</w:t>
      </w:r>
    </w:p>
    <w:p w:rsidR="00D2228B" w:rsidRPr="00CC1294" w:rsidRDefault="00D2228B" w:rsidP="00543E97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Philip Hall</w:t>
      </w:r>
    </w:p>
    <w:p w:rsidR="00D2228B" w:rsidRDefault="00D2228B" w:rsidP="00543E97">
      <w:pPr>
        <w:rPr>
          <w:rFonts w:ascii="Times New Roman" w:hAnsi="Times New Roman" w:cs="Times New Roman"/>
          <w:sz w:val="24"/>
          <w:szCs w:val="24"/>
        </w:rPr>
      </w:pPr>
      <w:r w:rsidRPr="00CC1294">
        <w:rPr>
          <w:rFonts w:ascii="Times New Roman" w:hAnsi="Times New Roman" w:cs="Times New Roman"/>
          <w:sz w:val="24"/>
          <w:szCs w:val="24"/>
        </w:rPr>
        <w:t>Brian Fidler</w:t>
      </w:r>
    </w:p>
    <w:p w:rsidR="000B1A7D" w:rsidRDefault="000B1A7D" w:rsidP="00543E97">
      <w:pPr>
        <w:rPr>
          <w:rFonts w:ascii="Times New Roman" w:hAnsi="Times New Roman" w:cs="Times New Roman"/>
          <w:sz w:val="24"/>
          <w:szCs w:val="24"/>
        </w:rPr>
      </w:pPr>
    </w:p>
    <w:p w:rsidR="00D46032" w:rsidRDefault="000B1A7D" w:rsidP="00D22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22 March 2018</w:t>
      </w:r>
      <w:r w:rsidR="00D46032">
        <w:rPr>
          <w:rFonts w:ascii="Times New Roman" w:hAnsi="Times New Roman" w:cs="Times New Roman"/>
          <w:sz w:val="28"/>
          <w:szCs w:val="28"/>
        </w:rPr>
        <w:br w:type="page"/>
      </w:r>
    </w:p>
    <w:p w:rsidR="00D46032" w:rsidRDefault="00D46032" w:rsidP="00D460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Appendix A</w:t>
      </w:r>
    </w:p>
    <w:p w:rsidR="00D46032" w:rsidRP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The</w:t>
      </w:r>
      <w:r w:rsidRPr="00E07335">
        <w:rPr>
          <w:rFonts w:ascii="Times New Roman" w:hAnsi="Times New Roman" w:cs="Times New Roman"/>
          <w:b/>
          <w:sz w:val="48"/>
          <w:szCs w:val="48"/>
        </w:rPr>
        <w:t xml:space="preserve"> 20-G</w:t>
      </w:r>
      <w:r>
        <w:rPr>
          <w:rFonts w:ascii="Times New Roman" w:hAnsi="Times New Roman" w:cs="Times New Roman"/>
          <w:b/>
          <w:sz w:val="48"/>
          <w:szCs w:val="48"/>
        </w:rPr>
        <w:t>h</w:t>
      </w:r>
      <w:r w:rsidRPr="00E07335">
        <w:rPr>
          <w:rFonts w:ascii="Times New Roman" w:hAnsi="Times New Roman" w:cs="Times New Roman"/>
          <w:b/>
          <w:sz w:val="48"/>
          <w:szCs w:val="48"/>
        </w:rPr>
        <w:t>ost Club</w:t>
      </w:r>
      <w:r>
        <w:rPr>
          <w:rFonts w:ascii="Times New Roman" w:hAnsi="Times New Roman" w:cs="Times New Roman"/>
          <w:b/>
          <w:sz w:val="48"/>
          <w:szCs w:val="48"/>
        </w:rPr>
        <w:t xml:space="preserve"> Limited</w:t>
      </w: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Budget 2018</w:t>
      </w: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Income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 £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  £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>Subscriptions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£17,500</w:t>
      </w:r>
    </w:p>
    <w:p w:rsidR="00D46032" w:rsidRPr="006A251F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6A251F">
        <w:rPr>
          <w:rFonts w:ascii="Times New Roman" w:hAnsi="Times New Roman" w:cs="Times New Roman"/>
          <w:b/>
          <w:sz w:val="40"/>
          <w:szCs w:val="40"/>
        </w:rPr>
        <w:t>Profit from events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D46032" w:rsidRPr="003E7C08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AGM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-</w:t>
      </w:r>
    </w:p>
    <w:p w:rsidR="00D46032" w:rsidRPr="003E7C08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Buckinghamshire Tour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500</w:t>
      </w:r>
    </w:p>
    <w:p w:rsidR="00D46032" w:rsidRPr="003E7C08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Cornwall Tour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1,400</w:t>
      </w:r>
    </w:p>
    <w:p w:rsidR="00D46032" w:rsidRPr="003E7C08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Prussian Tour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12,500</w:t>
      </w:r>
    </w:p>
    <w:p w:rsidR="00D46032" w:rsidRPr="003E7C08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Spring Lunch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200</w:t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 w:rsidRPr="003E7C08">
        <w:rPr>
          <w:rFonts w:ascii="Times New Roman" w:hAnsi="Times New Roman" w:cs="Times New Roman"/>
          <w:b/>
          <w:sz w:val="32"/>
          <w:szCs w:val="32"/>
        </w:rPr>
        <w:tab/>
        <w:t>Yorkshire Tour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1,900</w:t>
      </w: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Others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500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C034A3">
        <w:rPr>
          <w:rFonts w:ascii="Times New Roman" w:hAnsi="Times New Roman" w:cs="Times New Roman"/>
          <w:b/>
          <w:sz w:val="40"/>
          <w:szCs w:val="40"/>
        </w:rPr>
        <w:t>Total</w:t>
      </w:r>
      <w:r>
        <w:rPr>
          <w:rFonts w:ascii="Times New Roman" w:hAnsi="Times New Roman" w:cs="Times New Roman"/>
          <w:b/>
          <w:sz w:val="40"/>
          <w:szCs w:val="40"/>
        </w:rPr>
        <w:t xml:space="preserve"> from events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</w:t>
      </w:r>
      <w:r w:rsidRPr="00C034A3">
        <w:rPr>
          <w:rFonts w:ascii="Times New Roman" w:hAnsi="Times New Roman" w:cs="Times New Roman"/>
          <w:b/>
          <w:sz w:val="40"/>
          <w:szCs w:val="40"/>
        </w:rPr>
        <w:t>,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Pr="00C034A3">
        <w:rPr>
          <w:rFonts w:ascii="Times New Roman" w:hAnsi="Times New Roman" w:cs="Times New Roman"/>
          <w:b/>
          <w:sz w:val="40"/>
          <w:szCs w:val="40"/>
        </w:rPr>
        <w:t>00</w:t>
      </w:r>
    </w:p>
    <w:p w:rsidR="00D46032" w:rsidRPr="00C034A3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</w:p>
    <w:p w:rsidR="00D46032" w:rsidRPr="00C034A3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 w:rsidRPr="00C034A3">
        <w:rPr>
          <w:rFonts w:ascii="Times New Roman" w:hAnsi="Times New Roman" w:cs="Times New Roman"/>
          <w:b/>
          <w:sz w:val="40"/>
          <w:szCs w:val="40"/>
        </w:rPr>
        <w:t>Total Income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34,500</w:t>
      </w:r>
    </w:p>
    <w:p w:rsidR="00D46032" w:rsidRPr="00C034A3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32"/>
          <w:szCs w:val="32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48"/>
          <w:szCs w:val="48"/>
        </w:rPr>
      </w:pPr>
      <w:r w:rsidRPr="003A098F">
        <w:rPr>
          <w:rFonts w:ascii="Times New Roman" w:hAnsi="Times New Roman" w:cs="Times New Roman"/>
          <w:b/>
          <w:sz w:val="48"/>
          <w:szCs w:val="48"/>
        </w:rPr>
        <w:t>Expenditure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  <w:t xml:space="preserve">   £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>Publications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8,500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Website &amp; Database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6,000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Insurance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3,200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Accounting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2,500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Administration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2,500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Bank charges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1,500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  <w:r w:rsidRPr="00C034A3">
        <w:rPr>
          <w:rFonts w:ascii="Times New Roman" w:hAnsi="Times New Roman" w:cs="Times New Roman"/>
          <w:b/>
          <w:sz w:val="40"/>
          <w:szCs w:val="40"/>
        </w:rPr>
        <w:t xml:space="preserve">Total </w:t>
      </w:r>
      <w:r>
        <w:rPr>
          <w:rFonts w:ascii="Times New Roman" w:hAnsi="Times New Roman" w:cs="Times New Roman"/>
          <w:b/>
          <w:sz w:val="40"/>
          <w:szCs w:val="40"/>
        </w:rPr>
        <w:t>Expenditure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24,200</w:t>
      </w:r>
    </w:p>
    <w:p w:rsidR="00D46032" w:rsidRDefault="00D46032" w:rsidP="00D46032">
      <w:pPr>
        <w:rPr>
          <w:rFonts w:ascii="Times New Roman" w:hAnsi="Times New Roman" w:cs="Times New Roman"/>
          <w:b/>
          <w:sz w:val="40"/>
          <w:szCs w:val="40"/>
        </w:rPr>
      </w:pPr>
    </w:p>
    <w:p w:rsidR="00D46032" w:rsidRDefault="00D46032" w:rsidP="00D46032">
      <w:pPr>
        <w:rPr>
          <w:rFonts w:ascii="Times New Roman" w:hAnsi="Times New Roman" w:cs="Times New Roman"/>
          <w:b/>
          <w:sz w:val="48"/>
          <w:szCs w:val="48"/>
        </w:rPr>
      </w:pPr>
      <w:r w:rsidRPr="00675B15">
        <w:rPr>
          <w:rFonts w:ascii="Times New Roman" w:hAnsi="Times New Roman" w:cs="Times New Roman"/>
          <w:b/>
          <w:sz w:val="48"/>
          <w:szCs w:val="48"/>
        </w:rPr>
        <w:t>Profit</w:t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 w:rsidRPr="00675B15"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Pr="00675B15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10</w:t>
      </w:r>
      <w:r w:rsidRPr="00675B15">
        <w:rPr>
          <w:rFonts w:ascii="Times New Roman" w:hAnsi="Times New Roman" w:cs="Times New Roman"/>
          <w:b/>
          <w:sz w:val="48"/>
          <w:szCs w:val="48"/>
        </w:rPr>
        <w:t>,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675B15">
        <w:rPr>
          <w:rFonts w:ascii="Times New Roman" w:hAnsi="Times New Roman" w:cs="Times New Roman"/>
          <w:b/>
          <w:sz w:val="48"/>
          <w:szCs w:val="48"/>
        </w:rPr>
        <w:t>0</w:t>
      </w:r>
    </w:p>
    <w:p w:rsidR="00D46032" w:rsidRPr="00D46032" w:rsidRDefault="00D46032" w:rsidP="00D460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032">
        <w:rPr>
          <w:rFonts w:ascii="Times New Roman" w:hAnsi="Times New Roman" w:cs="Times New Roman"/>
          <w:b/>
          <w:sz w:val="28"/>
          <w:szCs w:val="28"/>
        </w:rPr>
        <w:lastRenderedPageBreak/>
        <w:t>Appendix B</w:t>
      </w: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20-Ghost Club Limited</w:t>
      </w:r>
    </w:p>
    <w:p w:rsidR="00D46032" w:rsidRDefault="00D46032" w:rsidP="00D46032">
      <w:pPr>
        <w:rPr>
          <w:rFonts w:ascii="Times New Roman" w:hAnsi="Times New Roman" w:cs="Times New Roman"/>
          <w:b/>
          <w:sz w:val="28"/>
          <w:szCs w:val="28"/>
        </w:rPr>
      </w:pP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comparison of Income and Expenditure: 2010, 2017</w:t>
      </w:r>
      <w:r w:rsidR="00CC129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CC1294">
        <w:rPr>
          <w:rFonts w:ascii="Times New Roman" w:hAnsi="Times New Roman" w:cs="Times New Roman"/>
          <w:b/>
          <w:sz w:val="28"/>
          <w:szCs w:val="28"/>
        </w:rPr>
        <w:t xml:space="preserve"> &amp; 2019</w:t>
      </w:r>
    </w:p>
    <w:p w:rsid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934"/>
        <w:gridCol w:w="934"/>
        <w:gridCol w:w="942"/>
        <w:gridCol w:w="1323"/>
        <w:gridCol w:w="3747"/>
      </w:tblGrid>
      <w:tr w:rsidR="00CC1294" w:rsidTr="00CC1294"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2010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2017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Budget 2018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C1294" w:rsidRDefault="00CC129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Projection</w:t>
            </w:r>
          </w:p>
          <w:p w:rsidR="00CC1294" w:rsidRDefault="00CC129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2019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Comments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£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£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center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£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Subscriptions @£50 or £60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10,524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17,465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17,500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18,000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Grown due to increased membership from 271 to 372 and £100 joining fees for new members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Shop (sales less purchases)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(414)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Other income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Surplus on tours (5% plus insurance contribution), less bank charges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2,281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13,110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15,500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80237D" w:rsidP="00CC129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="00CC1294">
              <w:rPr>
                <w:color w:val="FF0000"/>
              </w:rPr>
              <w:t>,000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 w:rsidP="00CC1294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More tours and larger participation in 2017 and 2018. In 2019, Swiss tour limited to 22 participants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Total income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13,092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30,710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33,000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80237D" w:rsidP="00CC1294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29</w:t>
            </w:r>
            <w:r w:rsidR="00CC1294">
              <w:rPr>
                <w:rFonts w:ascii="Calibri" w:hAnsi="Calibri"/>
                <w:b/>
                <w:bCs/>
                <w:color w:val="FF0000"/>
              </w:rPr>
              <w:t xml:space="preserve">,000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Printing and postage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498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-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 xml:space="preserve">Bookkeeping &amp; Accounting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1,054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2,176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2,500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2,500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Insurance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993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3,099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3,200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3,500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More people + more days’ touring = higher cost of insurance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Publications (incl Roycean in 2010 and in 2019?)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7,080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3,650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8,500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10,500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 w:rsidP="0072099D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 xml:space="preserve">Roycean in 2010 and in 2019? + </w:t>
            </w:r>
            <w:proofErr w:type="gramStart"/>
            <w:r>
              <w:rPr>
                <w:color w:val="FF0000"/>
              </w:rPr>
              <w:t>over</w:t>
            </w:r>
            <w:r w:rsidR="0072099D">
              <w:rPr>
                <w:color w:val="FF0000"/>
              </w:rPr>
              <w:t>-</w:t>
            </w:r>
            <w:r>
              <w:rPr>
                <w:color w:val="FF0000"/>
              </w:rPr>
              <w:t>provision</w:t>
            </w:r>
            <w:proofErr w:type="gramEnd"/>
            <w:r>
              <w:rPr>
                <w:color w:val="FF0000"/>
              </w:rPr>
              <w:t xml:space="preserve"> in 2016 = unrealistically lower cost in 2017.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Other, mainly website in 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609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6,918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8,500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6,000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 w:rsidP="009B72D9">
            <w:pPr>
              <w:rPr>
                <w:rFonts w:ascii="Calibri" w:hAnsi="Calibri"/>
                <w:color w:val="FF0000"/>
              </w:rPr>
            </w:pPr>
            <w:r>
              <w:rPr>
                <w:color w:val="FF0000"/>
              </w:rPr>
              <w:t>Mainly website costs in 2017, but should tail off. Probably overly prudent provision in 2018 after large expenditure in 2017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Total expenditure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10,234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16,122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22,700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21,500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Surplus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2,858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14,588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10,300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80237D" w:rsidP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7</w:t>
            </w:r>
            <w:r w:rsidR="00CC1294">
              <w:rPr>
                <w:rFonts w:ascii="Calibri" w:hAnsi="Calibri"/>
                <w:b/>
                <w:bCs/>
                <w:color w:val="1F497D"/>
              </w:rPr>
              <w:t>,500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Reserves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8,212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58,345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68,645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Pr="00CC1294" w:rsidRDefault="0080237D" w:rsidP="00CC1294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</w:t>
            </w:r>
            <w:r w:rsidR="00CC1294" w:rsidRPr="00CC1294">
              <w:rPr>
                <w:b/>
                <w:color w:val="FF0000"/>
              </w:rPr>
              <w:t>,145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FF0000"/>
              </w:rPr>
              <w:t>The clawback, by Brian Fidler, of £43,391 of the lost deposit following the collapse of the Bank of the Isle of Man (Kaupthing Singer &amp; Friedlander) + the result of surpluses of £6,742 over the last seven years</w:t>
            </w: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</w:tr>
      <w:tr w:rsidR="00CC1294" w:rsidTr="00CC1294"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rPr>
                <w:rFonts w:ascii="Calibri" w:hAnsi="Calibri"/>
                <w:color w:val="1F497D"/>
              </w:rPr>
            </w:pPr>
            <w:r>
              <w:rPr>
                <w:color w:val="1F497D"/>
              </w:rPr>
              <w:t>No of members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271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294" w:rsidRDefault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380?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C1294" w:rsidRDefault="00CC1294" w:rsidP="00CC1294">
            <w:pPr>
              <w:jc w:val="right"/>
              <w:rPr>
                <w:rFonts w:ascii="Calibri" w:hAnsi="Calibri"/>
                <w:b/>
                <w:bCs/>
                <w:color w:val="1F497D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390?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94" w:rsidRDefault="00CC1294">
            <w:pPr>
              <w:rPr>
                <w:rFonts w:ascii="Calibri" w:hAnsi="Calibri"/>
                <w:b/>
                <w:bCs/>
                <w:color w:val="1F497D"/>
              </w:rPr>
            </w:pPr>
          </w:p>
        </w:tc>
      </w:tr>
    </w:tbl>
    <w:p w:rsidR="00D46032" w:rsidRPr="00D46032" w:rsidRDefault="00D46032" w:rsidP="00D460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032" w:rsidRPr="00D46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E13"/>
    <w:multiLevelType w:val="hybridMultilevel"/>
    <w:tmpl w:val="2434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1C0E"/>
    <w:multiLevelType w:val="hybridMultilevel"/>
    <w:tmpl w:val="FD66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97C"/>
    <w:multiLevelType w:val="hybridMultilevel"/>
    <w:tmpl w:val="D33094A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595649"/>
    <w:multiLevelType w:val="hybridMultilevel"/>
    <w:tmpl w:val="F1B2C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75DF"/>
    <w:multiLevelType w:val="hybridMultilevel"/>
    <w:tmpl w:val="691E0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37550"/>
    <w:multiLevelType w:val="hybridMultilevel"/>
    <w:tmpl w:val="7EA8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9D"/>
    <w:rsid w:val="000265C9"/>
    <w:rsid w:val="0003191B"/>
    <w:rsid w:val="000B1A7D"/>
    <w:rsid w:val="0010141D"/>
    <w:rsid w:val="0013618E"/>
    <w:rsid w:val="00153CD1"/>
    <w:rsid w:val="00160D48"/>
    <w:rsid w:val="001A4677"/>
    <w:rsid w:val="001C4D40"/>
    <w:rsid w:val="00343C8B"/>
    <w:rsid w:val="0035320D"/>
    <w:rsid w:val="003A098F"/>
    <w:rsid w:val="003A1344"/>
    <w:rsid w:val="003E7C08"/>
    <w:rsid w:val="003F17E4"/>
    <w:rsid w:val="00466432"/>
    <w:rsid w:val="004869E2"/>
    <w:rsid w:val="0049637D"/>
    <w:rsid w:val="004D70B7"/>
    <w:rsid w:val="00510C26"/>
    <w:rsid w:val="00534FBE"/>
    <w:rsid w:val="00543E97"/>
    <w:rsid w:val="00596686"/>
    <w:rsid w:val="00675B15"/>
    <w:rsid w:val="006A251F"/>
    <w:rsid w:val="0072099D"/>
    <w:rsid w:val="007E0770"/>
    <w:rsid w:val="0080237D"/>
    <w:rsid w:val="00830B3B"/>
    <w:rsid w:val="00844C7B"/>
    <w:rsid w:val="0087123A"/>
    <w:rsid w:val="00907BED"/>
    <w:rsid w:val="009B0782"/>
    <w:rsid w:val="009B72D9"/>
    <w:rsid w:val="00A661BB"/>
    <w:rsid w:val="00C034A3"/>
    <w:rsid w:val="00C4726F"/>
    <w:rsid w:val="00CB6FE0"/>
    <w:rsid w:val="00CC1294"/>
    <w:rsid w:val="00D2228B"/>
    <w:rsid w:val="00D46032"/>
    <w:rsid w:val="00D96C5F"/>
    <w:rsid w:val="00DA446D"/>
    <w:rsid w:val="00E07335"/>
    <w:rsid w:val="00F628D4"/>
    <w:rsid w:val="00F8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Hall</dc:creator>
  <cp:lastModifiedBy>John</cp:lastModifiedBy>
  <cp:revision>7</cp:revision>
  <dcterms:created xsi:type="dcterms:W3CDTF">2018-03-22T08:33:00Z</dcterms:created>
  <dcterms:modified xsi:type="dcterms:W3CDTF">2018-03-22T11:38:00Z</dcterms:modified>
</cp:coreProperties>
</file>